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eastAsia" w:ascii="Arial" w:hAnsi="Arial" w:cs="Arial"/>
          <w:b/>
          <w:sz w:val="22"/>
          <w:szCs w:val="22"/>
          <w:lang w:eastAsia="zh-CN"/>
        </w:rPr>
        <w:t>10</w:t>
      </w:r>
      <w:r>
        <w:rPr>
          <w:rFonts w:ascii="Arial" w:hAnsi="Arial" w:cs="Arial"/>
          <w:b/>
          <w:sz w:val="22"/>
          <w:szCs w:val="22"/>
        </w:rPr>
        <w:tab/>
      </w:r>
      <w:r>
        <w:rPr>
          <w:rFonts w:hint="eastAsia" w:ascii="Arial" w:hAnsi="Arial" w:cs="Arial"/>
          <w:b/>
          <w:sz w:val="22"/>
          <w:szCs w:val="22"/>
        </w:rPr>
        <w:t>R1-220594</w:t>
      </w:r>
      <w:r>
        <w:rPr>
          <w:rFonts w:hint="default" w:ascii="Arial" w:hAnsi="Arial" w:cs="Arial"/>
          <w:b/>
          <w:sz w:val="22"/>
          <w:szCs w:val="22"/>
          <w:lang w:val="en-US"/>
        </w:rPr>
        <w:t>8</w:t>
      </w:r>
    </w:p>
    <w:p>
      <w:pPr>
        <w:tabs>
          <w:tab w:val="right" w:pos="9630"/>
        </w:tabs>
        <w:spacing w:after="0"/>
        <w:rPr>
          <w:rFonts w:ascii="Arial" w:hAnsi="Arial" w:cs="Arial"/>
          <w:b/>
          <w:sz w:val="22"/>
          <w:szCs w:val="22"/>
        </w:rPr>
      </w:pPr>
      <w:r>
        <w:rPr>
          <w:rFonts w:hint="eastAsia" w:ascii="Arial" w:hAnsi="Arial" w:eastAsia="MS Mincho" w:cs="Arial"/>
          <w:b/>
          <w:bCs/>
          <w:sz w:val="22"/>
          <w:szCs w:val="16"/>
          <w:lang w:eastAsia="ja-JP"/>
        </w:rPr>
        <w:t>Toulouse, France, August 22</w:t>
      </w:r>
      <w:r>
        <w:rPr>
          <w:rFonts w:hint="eastAsia" w:ascii="Arial" w:hAnsi="Arial" w:eastAsia="MS Mincho" w:cs="Arial"/>
          <w:b/>
          <w:bCs/>
          <w:sz w:val="22"/>
          <w:szCs w:val="16"/>
          <w:vertAlign w:val="superscript"/>
          <w:lang w:eastAsia="ja-JP"/>
        </w:rPr>
        <w:t>nd</w:t>
      </w:r>
      <w:r>
        <w:rPr>
          <w:rFonts w:hint="eastAsia" w:ascii="Arial" w:hAnsi="Arial" w:eastAsia="MS Mincho" w:cs="Arial"/>
          <w:b/>
          <w:bCs/>
          <w:sz w:val="22"/>
          <w:szCs w:val="16"/>
          <w:lang w:eastAsia="ja-JP"/>
        </w:rPr>
        <w:t xml:space="preserve"> – 26</w:t>
      </w:r>
      <w:r>
        <w:rPr>
          <w:rFonts w:hint="eastAsia" w:ascii="Arial" w:hAnsi="Arial" w:eastAsia="MS Mincho" w:cs="Arial"/>
          <w:b/>
          <w:bCs/>
          <w:sz w:val="22"/>
          <w:szCs w:val="16"/>
          <w:vertAlign w:val="superscript"/>
          <w:lang w:eastAsia="ja-JP"/>
        </w:rPr>
        <w:t>th</w:t>
      </w:r>
      <w:r>
        <w:rPr>
          <w:rFonts w:hint="eastAsia"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hint="default" w:ascii="Arial" w:hAnsi="Arial" w:eastAsia="宋体"/>
          <w:b/>
          <w:lang w:val="en-US" w:eastAsia="zh-CN"/>
        </w:rPr>
      </w:pPr>
      <w:r>
        <w:rPr>
          <w:rFonts w:ascii="Arial" w:hAnsi="Arial"/>
          <w:b/>
        </w:rPr>
        <w:t xml:space="preserve">Title: </w:t>
      </w:r>
      <w:r>
        <w:rPr>
          <w:rFonts w:ascii="Arial" w:hAnsi="Arial"/>
          <w:b/>
        </w:rPr>
        <w:tab/>
      </w:r>
      <w:r>
        <w:rPr>
          <w:rFonts w:hint="eastAsia" w:ascii="Arial" w:hAnsi="Arial"/>
          <w:b/>
        </w:rPr>
        <w:t>Discussion on Type-3 HARQ codebook</w:t>
      </w:r>
      <w:r>
        <w:rPr>
          <w:rFonts w:hint="eastAsia" w:ascii="Arial" w:hAnsi="Arial"/>
          <w:b/>
          <w:lang w:val="en-US" w:eastAsia="zh-CN"/>
        </w:rPr>
        <w:t xml:space="preserve"> in case of PUCCH repetition </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7.2.2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In this contribution, </w:t>
      </w:r>
      <w:r>
        <w:rPr>
          <w:rFonts w:hint="default"/>
          <w:lang w:val="en-US" w:eastAsia="zh-CN"/>
        </w:rPr>
        <w:t>an issue on Type-3 HARQ codebook</w:t>
      </w:r>
      <w:r>
        <w:rPr>
          <w:lang w:eastAsia="zh-CN"/>
        </w:rPr>
        <w:t xml:space="preserve"> </w:t>
      </w:r>
      <w:r>
        <w:rPr>
          <w:rFonts w:hint="default"/>
          <w:lang w:val="en-US" w:eastAsia="zh-CN"/>
        </w:rPr>
        <w:t xml:space="preserve">in case of PUCCH repetition is </w:t>
      </w:r>
      <w:r>
        <w:rPr>
          <w:lang w:eastAsia="zh-CN"/>
        </w:rPr>
        <w:t>discussed.</w:t>
      </w:r>
    </w:p>
    <w:p>
      <w:pPr>
        <w:pStyle w:val="2"/>
        <w:rPr>
          <w:lang w:eastAsia="zh-CN"/>
        </w:rPr>
      </w:pPr>
      <w:r>
        <w:rPr>
          <w:lang w:eastAsia="zh-CN"/>
        </w:rPr>
        <w:t>Discussion</w:t>
      </w:r>
    </w:p>
    <w:p>
      <w:pPr>
        <w:pStyle w:val="3"/>
        <w:rPr>
          <w:lang w:val="en-US" w:eastAsia="zh-CN"/>
        </w:rPr>
      </w:pPr>
      <w:r>
        <w:rPr>
          <w:lang w:val="en-US" w:eastAsia="zh-CN"/>
        </w:rPr>
        <w:t>Discussion on the issue in the case last DL DCI missing</w:t>
      </w:r>
    </w:p>
    <w:p>
      <w:pPr>
        <w:rPr>
          <w:rFonts w:hint="default"/>
          <w:lang w:val="en-US" w:eastAsia="zh-CN"/>
        </w:rPr>
      </w:pPr>
      <w:r>
        <w:rPr>
          <w:rFonts w:hint="eastAsia"/>
          <w:lang w:eastAsia="zh-CN"/>
        </w:rPr>
        <w:t>In Rel-16 NR-U,</w:t>
      </w:r>
      <w:r>
        <w:rPr>
          <w:rFonts w:hint="default"/>
          <w:lang w:val="en-US" w:eastAsia="zh-CN"/>
        </w:rPr>
        <w:t xml:space="preserve"> Type-</w:t>
      </w:r>
      <w:r>
        <w:rPr>
          <w:rFonts w:hint="eastAsia"/>
          <w:lang w:eastAsia="zh-CN"/>
        </w:rPr>
        <w:t>3 codebook was introduced</w:t>
      </w:r>
      <w:r>
        <w:rPr>
          <w:rFonts w:hint="default"/>
          <w:lang w:val="en-US" w:eastAsia="zh-CN"/>
        </w:rPr>
        <w:t>. The Type-3 codebook includes</w:t>
      </w:r>
      <w:r>
        <w:rPr>
          <w:rFonts w:hint="eastAsia"/>
          <w:lang w:eastAsia="zh-CN"/>
        </w:rPr>
        <w:t xml:space="preserve"> the HARQ-ACK </w:t>
      </w:r>
      <w:r>
        <w:rPr>
          <w:rFonts w:hint="default"/>
          <w:lang w:val="en-US" w:eastAsia="zh-CN"/>
        </w:rPr>
        <w:t xml:space="preserve">information </w:t>
      </w:r>
      <w:r>
        <w:rPr>
          <w:rFonts w:hint="eastAsia"/>
          <w:lang w:eastAsia="zh-CN"/>
        </w:rPr>
        <w:t>for all the HARQ process</w:t>
      </w:r>
      <w:r>
        <w:rPr>
          <w:rFonts w:hint="default"/>
          <w:lang w:val="en-US" w:eastAsia="zh-CN"/>
        </w:rPr>
        <w:t>es</w:t>
      </w:r>
      <w:r>
        <w:rPr>
          <w:rFonts w:hint="eastAsia"/>
          <w:lang w:eastAsia="zh-CN"/>
        </w:rPr>
        <w:t xml:space="preserve"> for all the serving cells. For a HARQ process, if the UE receives a PDSCH and has not reported the HARQ-ACK information</w:t>
      </w:r>
      <w:r>
        <w:rPr>
          <w:rFonts w:hint="eastAsia"/>
          <w:lang w:val="en-US" w:eastAsia="zh-CN"/>
        </w:rPr>
        <w:t xml:space="preserve"> yet</w:t>
      </w:r>
      <w:r>
        <w:rPr>
          <w:rFonts w:hint="eastAsia"/>
          <w:lang w:eastAsia="zh-CN"/>
        </w:rPr>
        <w:t xml:space="preserve">, the </w:t>
      </w:r>
      <w:r>
        <w:rPr>
          <w:rFonts w:hint="default"/>
          <w:lang w:val="en-US" w:eastAsia="zh-CN"/>
        </w:rPr>
        <w:t xml:space="preserve">corresponding </w:t>
      </w:r>
      <w:r>
        <w:rPr>
          <w:rFonts w:hint="eastAsia"/>
          <w:lang w:eastAsia="zh-CN"/>
        </w:rPr>
        <w:t>HARQ information is included in the type3 codebook as shown below</w:t>
      </w:r>
      <w:r>
        <w:rPr>
          <w:rFonts w:hint="default"/>
          <w:lang w:val="en-US" w:eastAsia="zh-CN"/>
        </w:rPr>
        <w:t xml:space="preserve"> [1]</w:t>
      </w:r>
      <w:r>
        <w:rPr>
          <w:rFonts w:hint="eastAsia"/>
          <w:lang w:eastAsia="zh-CN"/>
        </w:rPr>
        <w:t>. If the UE has reported the HARQ-ACK information for a HARQ process and has not receive</w:t>
      </w:r>
      <w:r>
        <w:rPr>
          <w:rFonts w:hint="default"/>
          <w:lang w:val="en-US" w:eastAsia="zh-CN"/>
        </w:rPr>
        <w:t>d</w:t>
      </w:r>
      <w:r>
        <w:rPr>
          <w:rFonts w:hint="eastAsia"/>
          <w:lang w:eastAsia="zh-CN"/>
        </w:rPr>
        <w:t xml:space="preserve"> a new PDSCH, NACK is generated for the HARQ process. The main purpose is to resolve the DTX issue.</w:t>
      </w:r>
      <w:r>
        <w:rPr>
          <w:rFonts w:hint="default"/>
          <w:lang w:val="en-US" w:eastAsia="zh-CN"/>
        </w:rPr>
        <w:t xml:space="preserve"> In this case, if the network schedule</w:t>
      </w:r>
      <w:r>
        <w:rPr>
          <w:rFonts w:hint="eastAsia"/>
          <w:lang w:val="en-US" w:eastAsia="zh-CN"/>
        </w:rPr>
        <w:t>s</w:t>
      </w:r>
      <w:r>
        <w:rPr>
          <w:rFonts w:hint="default"/>
          <w:lang w:val="en-US" w:eastAsia="zh-CN"/>
        </w:rPr>
        <w:t xml:space="preserve"> a PDSCH with a HARQ process while the UE does not decode the corresponding DCI</w:t>
      </w:r>
      <w:r>
        <w:rPr>
          <w:rFonts w:hint="eastAsia"/>
          <w:lang w:val="en-US" w:eastAsia="zh-CN"/>
        </w:rPr>
        <w:t xml:space="preserve"> successfully</w:t>
      </w:r>
      <w:r>
        <w:rPr>
          <w:rFonts w:hint="default"/>
          <w:lang w:val="en-US" w:eastAsia="zh-CN"/>
        </w:rPr>
        <w:t xml:space="preserve">, then the generated NACK can let the network perform retransmission.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91"/>
              <w:spacing w:before="120" w:line="280" w:lineRule="atLeast"/>
              <w:rPr>
                <w:lang w:eastAsia="zh-CN"/>
              </w:rPr>
            </w:pPr>
            <w:r>
              <w:t xml:space="preserve">while </w:t>
            </w:r>
            <m:oMath>
              <m:r>
                <m:rPr/>
                <w:rPr>
                  <w:rFonts w:ascii="Cambria Math" w:hAnsi="Cambria Math"/>
                </w:rPr>
                <m:t>t&lt;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oMath>
          </w:p>
          <w:p>
            <w:pPr>
              <w:pStyle w:val="91"/>
              <w:spacing w:before="120" w:line="280" w:lineRule="atLeast"/>
              <w:ind w:left="1985"/>
            </w:pPr>
            <w:r>
              <w:rPr>
                <w:highlight w:val="green"/>
              </w:rPr>
              <w:t xml:space="preserve">if UE has obtained HARQ-ACK information for TB </w:t>
            </w:r>
            <m:oMath>
              <m:r>
                <m:rPr/>
                <w:rPr>
                  <w:rFonts w:ascii="Cambria Math" w:hAnsi="Cambria Math"/>
                  <w:highlight w:val="green"/>
                </w:rPr>
                <m:t>t</m:t>
              </m:r>
            </m:oMath>
            <w:r>
              <w:rPr>
                <w:highlight w:val="green"/>
              </w:rPr>
              <w:t xml:space="preserve"> for HARQ process number </w:t>
            </w:r>
            <m:oMath>
              <m:r>
                <m:rPr/>
                <w:rPr>
                  <w:rFonts w:ascii="Cambria Math" w:hAnsi="Cambria Math"/>
                  <w:highlight w:val="green"/>
                </w:rPr>
                <m:t>ℎ</m:t>
              </m:r>
            </m:oMath>
            <w:r>
              <w:rPr>
                <w:highlight w:val="green"/>
              </w:rPr>
              <w:t xml:space="preserve"> on serving cell </w:t>
            </w:r>
            <m:oMath>
              <m:r>
                <m:rPr/>
                <w:rPr>
                  <w:rFonts w:ascii="Cambria Math" w:hAnsi="Cambria Math"/>
                  <w:highlight w:val="green"/>
                </w:rPr>
                <m:t>c</m:t>
              </m:r>
            </m:oMath>
            <w:r>
              <w:rPr>
                <w:highlight w:val="green"/>
              </w:rPr>
              <w:t xml:space="preserve"> corresponding to a PDSCH reception and has not reported the HARQ-ACK information corresponding to the PDSCH reception</w:t>
            </w:r>
          </w:p>
          <w:p>
            <w:pPr>
              <w:pStyle w:val="91"/>
              <w:spacing w:before="120" w:line="280" w:lineRule="atLeast"/>
              <w:ind w:left="2268"/>
            </w:pPr>
            <w:r>
              <w:t xml:space="preserve">while </w:t>
            </w:r>
            <m:oMath>
              <m:r>
                <m:rPr/>
                <w:rPr>
                  <w:rFonts w:ascii="Cambria Math" w:hAnsi="Cambria Math"/>
                </w:rPr>
                <m:t>g&lt;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CBG/TB,max</m:t>
                  </m:r>
                  <m:ctrlPr>
                    <w:rPr>
                      <w:rFonts w:ascii="Cambria Math" w:hAnsi="Cambria Math"/>
                      <w:i/>
                    </w:rPr>
                  </m:ctrlPr>
                </m:sup>
              </m:sSubSup>
            </m:oMath>
          </w:p>
          <w:p>
            <w:pPr>
              <w:pStyle w:val="91"/>
              <w:spacing w:before="120" w:line="280" w:lineRule="atLeast"/>
              <w:ind w:left="2552"/>
            </w:pPr>
            <w:r>
              <w:rPr>
                <w:position w:val="-12"/>
                <w:highlight w:val="green"/>
              </w:rPr>
              <w:drawing>
                <wp:inline distT="0" distB="0" distL="114300" distR="114300">
                  <wp:extent cx="308610" cy="233680"/>
                  <wp:effectExtent l="0" t="0" r="1524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08610" cy="233680"/>
                          </a:xfrm>
                          <a:prstGeom prst="rect">
                            <a:avLst/>
                          </a:prstGeom>
                          <a:noFill/>
                          <a:ln>
                            <a:noFill/>
                          </a:ln>
                        </pic:spPr>
                      </pic:pic>
                    </a:graphicData>
                  </a:graphic>
                </wp:inline>
              </w:drawing>
            </w:r>
            <w:r>
              <w:rPr>
                <w:highlight w:val="green"/>
              </w:rPr>
              <w:t>= HARQ-ACK information bit</w:t>
            </w:r>
            <w:r>
              <w:t xml:space="preserve"> for CBG </w:t>
            </w:r>
            <m:oMath>
              <m:r>
                <m:rPr/>
                <w:rPr>
                  <w:rFonts w:ascii="Cambria Math" w:hAnsi="Cambria Math"/>
                </w:rPr>
                <m:t>g</m:t>
              </m:r>
            </m:oMath>
            <w:r>
              <w:t xml:space="preserve"> of TB </w:t>
            </w:r>
            <m:oMath>
              <m:r>
                <m:rPr/>
                <w:rPr>
                  <w:rFonts w:ascii="Cambria Math" w:hAnsi="Cambria Math"/>
                </w:rPr>
                <m:t>t</m:t>
              </m:r>
            </m:oMath>
            <w:r>
              <w:t xml:space="preserve"> for HARQ process number </w:t>
            </w:r>
            <m:oMath>
              <m:r>
                <m:rPr/>
                <w:rPr>
                  <w:rFonts w:ascii="Cambria Math" w:hAnsi="Cambria Math"/>
                </w:rPr>
                <m:t>ℎ</m:t>
              </m:r>
            </m:oMath>
            <w:r>
              <w:t xml:space="preserve"> of serving cell </w:t>
            </w:r>
            <m:oMath>
              <m:r>
                <m:rPr/>
                <w:rPr>
                  <w:rFonts w:ascii="Cambria Math" w:hAnsi="Cambria Math"/>
                </w:rPr>
                <m:t>c</m:t>
              </m:r>
            </m:oMath>
          </w:p>
          <w:p>
            <w:pPr>
              <w:pStyle w:val="91"/>
              <w:spacing w:before="120" w:line="280" w:lineRule="atLeast"/>
              <w:ind w:left="2552"/>
            </w:pPr>
            <m:oMath>
              <m:r>
                <m:rPr/>
                <w:rPr>
                  <w:rFonts w:ascii="Cambria Math" w:hAnsi="Cambria Math"/>
                </w:rPr>
                <m:t>j=j+1</m:t>
              </m:r>
            </m:oMath>
            <w:r>
              <w:t xml:space="preserve"> </w:t>
            </w:r>
          </w:p>
          <w:p>
            <w:pPr>
              <w:pStyle w:val="91"/>
              <w:spacing w:before="120" w:line="280" w:lineRule="atLeast"/>
              <w:ind w:left="2552"/>
            </w:pPr>
            <m:oMath>
              <m:r>
                <m:rPr/>
                <w:rPr>
                  <w:rFonts w:ascii="Cambria Math" w:hAnsi="Cambria Math"/>
                </w:rPr>
                <m:t>g=g+1</m:t>
              </m:r>
            </m:oMath>
            <w:r>
              <w:t xml:space="preserve"> </w:t>
            </w:r>
          </w:p>
          <w:p>
            <w:pPr>
              <w:pStyle w:val="91"/>
              <w:spacing w:before="120" w:line="280" w:lineRule="atLeast"/>
              <w:ind w:left="2268"/>
            </w:pPr>
            <w:r>
              <w:t>end while</w:t>
            </w:r>
          </w:p>
          <w:p>
            <w:pPr>
              <w:pStyle w:val="91"/>
              <w:spacing w:before="120" w:after="120" w:afterLines="50" w:line="280" w:lineRule="atLeast"/>
              <w:ind w:left="1985"/>
            </w:pPr>
            <w:r>
              <w:rPr>
                <w:rFonts w:hint="eastAsia"/>
              </w:rPr>
              <w:t>else</w:t>
            </w:r>
          </w:p>
          <w:p>
            <w:pPr>
              <w:pStyle w:val="91"/>
              <w:spacing w:before="120" w:line="280" w:lineRule="atLeast"/>
              <w:ind w:left="2268"/>
            </w:pPr>
            <w:r>
              <w:t xml:space="preserve">while </w:t>
            </w:r>
            <m:oMath>
              <m:r>
                <m:rPr/>
                <w:rPr>
                  <w:rFonts w:ascii="Cambria Math" w:hAnsi="Cambria Math"/>
                </w:rPr>
                <m:t>g&lt;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CBG/TB,max</m:t>
                  </m:r>
                  <m:ctrlPr>
                    <w:rPr>
                      <w:rFonts w:ascii="Cambria Math" w:hAnsi="Cambria Math"/>
                      <w:i/>
                    </w:rPr>
                  </m:ctrlPr>
                </m:sup>
              </m:sSubSup>
            </m:oMath>
          </w:p>
          <w:p>
            <w:pPr>
              <w:pStyle w:val="91"/>
              <w:spacing w:before="120" w:line="280" w:lineRule="atLeast"/>
              <w:ind w:left="2552"/>
              <w:rPr>
                <w:highlight w:val="green"/>
              </w:rPr>
            </w:pPr>
            <w:r>
              <w:rPr>
                <w:position w:val="-12"/>
                <w:highlight w:val="green"/>
                <w:lang w:val="en-US" w:eastAsia="zh-CN"/>
              </w:rPr>
              <w:drawing>
                <wp:inline distT="0" distB="0" distL="0" distR="0">
                  <wp:extent cx="868680" cy="251460"/>
                  <wp:effectExtent l="0" t="0" r="0" b="15875"/>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68680" cy="251460"/>
                          </a:xfrm>
                          <a:prstGeom prst="rect">
                            <a:avLst/>
                          </a:prstGeom>
                          <a:noFill/>
                          <a:ln>
                            <a:noFill/>
                          </a:ln>
                        </pic:spPr>
                      </pic:pic>
                    </a:graphicData>
                  </a:graphic>
                </wp:inline>
              </w:drawing>
            </w:r>
          </w:p>
          <w:p>
            <w:pPr>
              <w:pStyle w:val="91"/>
              <w:spacing w:before="120" w:line="280" w:lineRule="atLeast"/>
              <w:ind w:left="2552"/>
            </w:pPr>
            <m:oMath>
              <m:r>
                <m:rPr/>
                <w:rPr>
                  <w:rFonts w:ascii="Cambria Math" w:hAnsi="Cambria Math"/>
                </w:rPr>
                <m:t>j=j+1</m:t>
              </m:r>
            </m:oMath>
            <w:r>
              <w:t xml:space="preserve"> </w:t>
            </w:r>
          </w:p>
          <w:p>
            <w:pPr>
              <w:pStyle w:val="91"/>
              <w:spacing w:before="120" w:line="280" w:lineRule="atLeast"/>
              <w:ind w:left="2552"/>
            </w:pPr>
            <m:oMath>
              <m:r>
                <m:rPr/>
                <w:rPr>
                  <w:rFonts w:ascii="Cambria Math" w:hAnsi="Cambria Math"/>
                </w:rPr>
                <m:t>g=g+1</m:t>
              </m:r>
            </m:oMath>
            <w:r>
              <w:t xml:space="preserve"> </w:t>
            </w:r>
          </w:p>
          <w:p>
            <w:pPr>
              <w:pStyle w:val="91"/>
              <w:spacing w:before="120" w:line="280" w:lineRule="atLeast"/>
              <w:ind w:left="2268"/>
              <w:rPr>
                <w:rFonts w:ascii="Times" w:hAnsi="Times"/>
              </w:rPr>
            </w:pPr>
            <w:r>
              <w:t>end while</w:t>
            </w:r>
          </w:p>
          <w:p>
            <w:pPr>
              <w:pStyle w:val="91"/>
              <w:spacing w:before="120" w:line="280" w:lineRule="atLeast"/>
              <w:ind w:left="1985"/>
            </w:pPr>
            <w:r>
              <w:t>end if</w:t>
            </w:r>
          </w:p>
          <w:p>
            <w:pPr>
              <w:pStyle w:val="91"/>
              <w:spacing w:before="120" w:line="280" w:lineRule="atLeast"/>
              <w:ind w:left="1985"/>
            </w:pPr>
            <m:oMath>
              <m:r>
                <m:rPr/>
                <w:rPr>
                  <w:rFonts w:ascii="Cambria Math" w:hAnsi="Cambria Math"/>
                </w:rPr>
                <m:t>g=0</m:t>
              </m:r>
            </m:oMath>
            <w:r>
              <w:t xml:space="preserve"> </w:t>
            </w:r>
          </w:p>
          <w:p>
            <w:pPr>
              <w:pStyle w:val="91"/>
              <w:spacing w:before="120" w:line="280" w:lineRule="atLeast"/>
              <w:ind w:left="1985"/>
            </w:pPr>
            <m:oMath>
              <m:r>
                <m:rPr/>
                <w:rPr>
                  <w:rFonts w:ascii="Cambria Math" w:hAnsi="Cambria Math"/>
                </w:rPr>
                <m:t>t=t+1</m:t>
              </m:r>
            </m:oMath>
            <w:r>
              <w:t xml:space="preserve"> </w:t>
            </w:r>
          </w:p>
          <w:p>
            <w:pPr>
              <w:pStyle w:val="91"/>
              <w:spacing w:before="120" w:line="280" w:lineRule="atLeast"/>
              <w:rPr>
                <w:rFonts w:hint="default"/>
                <w:vertAlign w:val="baseline"/>
                <w:lang w:val="en-US" w:eastAsia="zh-CN"/>
              </w:rPr>
            </w:pPr>
            <w:r>
              <w:t>end while</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There was no discussion on how to </w:t>
      </w:r>
      <w:r>
        <w:rPr>
          <w:rFonts w:hint="eastAsia"/>
          <w:lang w:val="en-US" w:eastAsia="zh-CN"/>
        </w:rPr>
        <w:t>determine whether the</w:t>
      </w:r>
      <w:r>
        <w:rPr>
          <w:rFonts w:hint="default"/>
          <w:lang w:val="en-US" w:eastAsia="zh-CN"/>
        </w:rPr>
        <w:t xml:space="preserve"> HARQ-ACK information </w:t>
      </w:r>
      <w:r>
        <w:rPr>
          <w:rFonts w:hint="eastAsia"/>
          <w:lang w:val="en-US" w:eastAsia="zh-CN"/>
        </w:rPr>
        <w:t xml:space="preserve">for a given HARQ process has been </w:t>
      </w:r>
      <w:r>
        <w:rPr>
          <w:rFonts w:hint="default"/>
          <w:lang w:val="en-US" w:eastAsia="zh-CN"/>
        </w:rPr>
        <w:t xml:space="preserve">reported in Rel-16. If PUCCH repetition is not configured, the situation is very clear in our understanding. </w:t>
      </w:r>
      <w:r>
        <w:rPr>
          <w:rFonts w:hint="eastAsia"/>
          <w:lang w:val="en-US" w:eastAsia="zh-CN"/>
        </w:rPr>
        <w:t xml:space="preserve">That is, a </w:t>
      </w:r>
      <w:r>
        <w:rPr>
          <w:rFonts w:hint="default"/>
          <w:lang w:val="en-US" w:eastAsia="zh-CN"/>
        </w:rPr>
        <w:t xml:space="preserve">UE can consider that the HARQ-ACK information has been reported as long as the PUCCH or PUSCH carrying the HARQ-ACK information has been transmitted by the UE. In case the PUCCH or PUSCH carrying the HARQ-ACK information cannot be transmitted due to LBT failure, the UE can consider the HARQ-ACK information has not been reported. </w:t>
      </w:r>
    </w:p>
    <w:p>
      <w:pPr>
        <w:bidi w:val="0"/>
        <w:rPr>
          <w:rFonts w:hint="default"/>
          <w:lang w:val="en-US" w:eastAsia="zh-CN"/>
        </w:rPr>
      </w:pPr>
      <w:r>
        <w:rPr>
          <w:rFonts w:hint="default"/>
          <w:lang w:val="en-US" w:eastAsia="zh-CN"/>
        </w:rPr>
        <w:t xml:space="preserve">However, if the PUCCH repetition is configured, the understanding of </w:t>
      </w:r>
      <w:r>
        <w:rPr>
          <w:rFonts w:hint="eastAsia"/>
          <w:lang w:val="en-US" w:eastAsia="zh-CN"/>
        </w:rPr>
        <w:t xml:space="preserve">whether or not the HARQ-ACK information has been reported </w:t>
      </w:r>
      <w:r>
        <w:rPr>
          <w:rFonts w:hint="default"/>
          <w:lang w:val="en-US" w:eastAsia="zh-CN"/>
        </w:rPr>
        <w:t xml:space="preserve">is not clear in case not all the PUCCH repetitions are transmitted. For example, the number of the PUCCH repetitions is 4 configured by the network. But the PUSCH repetition 1 and PUCCH repetition 2 cannot be transmitted due to LBT failure as shown in Figure 1 below. Finally, the UE just transmits the last two PUCCH repetitions. In this case, people may have different understanding on whether the HARQ-ACK information carried in the PUCCH has been reported or not.  </w:t>
      </w:r>
    </w:p>
    <w:p>
      <w:pPr>
        <w:bidi w:val="0"/>
        <w:jc w:val="center"/>
      </w:pPr>
      <w:r>
        <w:object>
          <v:shape id="_x0000_i1025" o:spt="75" type="#_x0000_t75" style="height:145.5pt;width:246.25pt;" o:ole="t" filled="f" o:preferrelative="t" stroked="f" coordsize="21600,21600">
            <v:path/>
            <v:fill on="f" focussize="0,0"/>
            <v:stroke on="f"/>
            <v:imagedata r:id="rId11" o:title=""/>
            <o:lock v:ext="edit" aspectratio="t"/>
            <w10:wrap type="none"/>
            <w10:anchorlock/>
          </v:shape>
          <o:OLEObject Type="Embed" ProgID="Visio.Drawing.11" ShapeID="_x0000_i1025" DrawAspect="Content" ObjectID="_1468075725" r:id="rId10">
            <o:LockedField>false</o:LockedField>
          </o:OLEObject>
        </w:object>
      </w:r>
    </w:p>
    <w:p>
      <w:pPr>
        <w:bidi w:val="0"/>
        <w:jc w:val="center"/>
        <w:rPr>
          <w:rFonts w:hint="default"/>
          <w:lang w:val="en-US" w:eastAsia="zh-CN"/>
        </w:rPr>
      </w:pPr>
      <w:r>
        <w:rPr>
          <w:rFonts w:hint="default"/>
          <w:lang w:val="en-US"/>
        </w:rPr>
        <w:t>Figure 1 PUCCH repetitions</w:t>
      </w:r>
    </w:p>
    <w:p>
      <w:pPr>
        <w:bidi w:val="0"/>
        <w:rPr>
          <w:rFonts w:hint="default"/>
          <w:i/>
          <w:iCs/>
          <w:lang w:val="en-US" w:eastAsia="zh-CN"/>
        </w:rPr>
      </w:pPr>
      <w:r>
        <w:rPr>
          <w:rFonts w:hint="default"/>
          <w:b/>
          <w:bCs/>
          <w:i/>
          <w:iCs/>
          <w:lang w:val="en-US" w:eastAsia="zh-CN"/>
        </w:rPr>
        <w:t>Observation 1:</w:t>
      </w:r>
      <w:r>
        <w:rPr>
          <w:rFonts w:hint="default"/>
          <w:i/>
          <w:iCs/>
          <w:lang w:val="en-US" w:eastAsia="zh-CN"/>
        </w:rPr>
        <w:t xml:space="preserve"> </w:t>
      </w:r>
      <w:r>
        <w:rPr>
          <w:rFonts w:hint="eastAsia"/>
          <w:i/>
          <w:iCs/>
          <w:lang w:val="en-US" w:eastAsia="zh-CN"/>
        </w:rPr>
        <w:t xml:space="preserve">For </w:t>
      </w:r>
      <w:r>
        <w:rPr>
          <w:rFonts w:hint="default"/>
          <w:lang w:val="en-US" w:eastAsia="zh-CN"/>
        </w:rPr>
        <w:t>Type-</w:t>
      </w:r>
      <w:r>
        <w:rPr>
          <w:rFonts w:hint="eastAsia"/>
          <w:lang w:eastAsia="zh-CN"/>
        </w:rPr>
        <w:t>3 codebook</w:t>
      </w:r>
      <w:r>
        <w:rPr>
          <w:rFonts w:hint="eastAsia"/>
          <w:lang w:val="en-US" w:eastAsia="zh-CN"/>
        </w:rPr>
        <w:t xml:space="preserve">, </w:t>
      </w:r>
      <w:r>
        <w:rPr>
          <w:rFonts w:hint="eastAsia"/>
          <w:i/>
          <w:iCs/>
          <w:lang w:val="en-US" w:eastAsia="zh-CN"/>
        </w:rPr>
        <w:t>t</w:t>
      </w:r>
      <w:r>
        <w:rPr>
          <w:rFonts w:hint="default"/>
          <w:i/>
          <w:iCs/>
          <w:lang w:val="en-US" w:eastAsia="zh-CN"/>
        </w:rPr>
        <w:t xml:space="preserve">he understanding of </w:t>
      </w:r>
      <w:r>
        <w:rPr>
          <w:rFonts w:hint="eastAsia"/>
          <w:i/>
          <w:iCs/>
          <w:lang w:val="en-US" w:eastAsia="zh-CN"/>
        </w:rPr>
        <w:t>whether or not the HARQ-ACK information has been reported</w:t>
      </w:r>
      <w:r>
        <w:rPr>
          <w:rFonts w:hint="default"/>
          <w:i/>
          <w:iCs/>
          <w:lang w:val="en-US" w:eastAsia="zh-CN"/>
        </w:rPr>
        <w:t xml:space="preserve"> is not clear in case not all the PUCCH repetitions are transmitted.</w:t>
      </w:r>
    </w:p>
    <w:p>
      <w:pPr>
        <w:bidi w:val="0"/>
        <w:rPr>
          <w:rFonts w:hint="default"/>
          <w:lang w:val="en-US" w:eastAsia="zh-CN"/>
        </w:rPr>
      </w:pPr>
      <w:r>
        <w:rPr>
          <w:rFonts w:hint="default"/>
          <w:lang w:val="en-US" w:eastAsia="zh-CN"/>
        </w:rPr>
        <w:t xml:space="preserve">From the network perspective, the network may not decode the PUCCH correctly due to the fact that only two PUCCH repetitions are transmitted. If the UE considers the HARQ-ACK information has been reported and generate NACK for the HARQ process, it may lead to the network believe the NACK is for the PDSCH. The network has to retransmit the PDSCH. It may lead to the resource waste. </w:t>
      </w:r>
    </w:p>
    <w:p>
      <w:pPr>
        <w:bidi w:val="0"/>
        <w:rPr>
          <w:rFonts w:hint="eastAsia"/>
          <w:lang w:eastAsia="zh-CN"/>
        </w:rPr>
      </w:pPr>
      <w:r>
        <w:rPr>
          <w:rFonts w:hint="default"/>
          <w:lang w:val="en-US" w:eastAsia="zh-CN"/>
        </w:rPr>
        <w:t xml:space="preserve">In addition, when the network configures PUCCH repetitions for a UE, it means the UE is on the edge of the cell coverage. The PUCCH repetition can ensure the reliability of the PUCCH as same as the single PUCCH transmission for UE in the center of the cell coverage. </w:t>
      </w:r>
      <w:bookmarkStart w:id="3" w:name="_GoBack"/>
      <w:r>
        <w:rPr>
          <w:rFonts w:hint="default"/>
          <w:lang w:val="en-US" w:eastAsia="zh-CN"/>
        </w:rPr>
        <w:t>Therefore, the transmission of all the PUCCH repetition</w:t>
      </w:r>
      <w:r>
        <w:rPr>
          <w:rFonts w:hint="eastAsia"/>
          <w:lang w:val="en-US" w:eastAsia="zh-CN"/>
        </w:rPr>
        <w:t>s</w:t>
      </w:r>
      <w:r>
        <w:rPr>
          <w:rFonts w:hint="default"/>
          <w:lang w:val="en-US" w:eastAsia="zh-CN"/>
        </w:rPr>
        <w:t xml:space="preserve"> in case PUCCH repetition is configured is equivalent </w:t>
      </w:r>
      <w:r>
        <w:rPr>
          <w:rFonts w:hint="eastAsia"/>
          <w:lang w:val="en-US" w:eastAsia="zh-CN"/>
        </w:rPr>
        <w:t xml:space="preserve">to </w:t>
      </w:r>
      <w:r>
        <w:rPr>
          <w:rFonts w:hint="default"/>
          <w:lang w:val="en-US" w:eastAsia="zh-CN"/>
        </w:rPr>
        <w:t xml:space="preserve">the single PUCCH transmission in case PUCCH repetition is not configured. </w:t>
      </w:r>
      <w:bookmarkEnd w:id="3"/>
      <w:r>
        <w:rPr>
          <w:rFonts w:hint="default"/>
          <w:lang w:val="en-US" w:eastAsia="zh-CN"/>
        </w:rPr>
        <w:t>From this perspective, the UE can consider the HARQ information has been reported only when all the PUCCH repetitions are transmitted.</w:t>
      </w:r>
    </w:p>
    <w:p>
      <w:pPr>
        <w:rPr>
          <w:rFonts w:hint="default"/>
          <w:i w:val="0"/>
          <w:iCs w:val="0"/>
          <w:lang w:val="en-US" w:eastAsia="zh-CN"/>
        </w:rPr>
      </w:pPr>
      <w:r>
        <w:rPr>
          <w:rFonts w:hint="default"/>
          <w:b/>
          <w:bCs/>
          <w:i/>
          <w:iCs/>
          <w:lang w:val="en-US" w:eastAsia="zh-CN"/>
        </w:rPr>
        <w:t>Proposal 1:</w:t>
      </w:r>
      <w:r>
        <w:rPr>
          <w:rFonts w:hint="default"/>
          <w:i/>
          <w:iCs/>
          <w:lang w:val="en-US" w:eastAsia="zh-CN"/>
        </w:rPr>
        <w:t xml:space="preserve"> </w:t>
      </w:r>
      <w:r>
        <w:rPr>
          <w:rFonts w:hint="eastAsia"/>
          <w:i/>
          <w:iCs/>
          <w:lang w:val="en-US" w:eastAsia="zh-CN"/>
        </w:rPr>
        <w:t xml:space="preserve">For </w:t>
      </w:r>
      <w:r>
        <w:rPr>
          <w:rFonts w:hint="default"/>
          <w:lang w:val="en-US" w:eastAsia="zh-CN"/>
        </w:rPr>
        <w:t>Type-</w:t>
      </w:r>
      <w:r>
        <w:rPr>
          <w:rFonts w:hint="eastAsia"/>
          <w:lang w:eastAsia="zh-CN"/>
        </w:rPr>
        <w:t>3 codebook</w:t>
      </w:r>
      <w:r>
        <w:rPr>
          <w:rFonts w:hint="eastAsia"/>
          <w:lang w:val="en-US" w:eastAsia="zh-CN"/>
        </w:rPr>
        <w:t xml:space="preserve">, </w:t>
      </w:r>
      <w:r>
        <w:rPr>
          <w:rFonts w:hint="eastAsia"/>
          <w:i/>
          <w:iCs/>
          <w:lang w:val="en-US" w:eastAsia="zh-CN"/>
        </w:rPr>
        <w:t>a</w:t>
      </w:r>
      <w:r>
        <w:rPr>
          <w:rFonts w:hint="default"/>
          <w:i/>
          <w:iCs/>
          <w:lang w:val="en-US" w:eastAsia="zh-CN"/>
        </w:rPr>
        <w:t xml:space="preserve"> UE consider</w:t>
      </w:r>
      <w:r>
        <w:rPr>
          <w:rFonts w:hint="eastAsia"/>
          <w:i/>
          <w:iCs/>
          <w:lang w:val="en-US" w:eastAsia="zh-CN"/>
        </w:rPr>
        <w:t>s</w:t>
      </w:r>
      <w:r>
        <w:rPr>
          <w:rFonts w:hint="default"/>
          <w:i/>
          <w:iCs/>
          <w:lang w:val="en-US" w:eastAsia="zh-CN"/>
        </w:rPr>
        <w:t xml:space="preserve"> the HARQ-ACK information has been reported for a HARQ process only when all the PUCCH repetitions carrying the HARQ-ACK information are transmitted.</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 xml:space="preserve">According to the discussion above, we have the following </w:t>
      </w:r>
      <w:r>
        <w:rPr>
          <w:rFonts w:hint="default"/>
          <w:lang w:val="en-US" w:eastAsia="zh-CN"/>
        </w:rPr>
        <w:t xml:space="preserve">observation and </w:t>
      </w:r>
      <w:r>
        <w:rPr>
          <w:rFonts w:hint="eastAsia"/>
          <w:lang w:eastAsia="zh-CN"/>
        </w:rPr>
        <w:t>proposal.</w:t>
      </w:r>
    </w:p>
    <w:p>
      <w:pPr>
        <w:bidi w:val="0"/>
        <w:rPr>
          <w:rFonts w:hint="default"/>
          <w:i/>
          <w:iCs/>
          <w:lang w:val="en-US" w:eastAsia="zh-CN"/>
        </w:rPr>
      </w:pPr>
      <w:r>
        <w:rPr>
          <w:rFonts w:hint="default"/>
          <w:b/>
          <w:bCs/>
          <w:i/>
          <w:iCs/>
          <w:lang w:val="en-US" w:eastAsia="zh-CN"/>
        </w:rPr>
        <w:t>Observation 1:</w:t>
      </w:r>
      <w:r>
        <w:rPr>
          <w:rFonts w:hint="default"/>
          <w:i/>
          <w:iCs/>
          <w:lang w:val="en-US" w:eastAsia="zh-CN"/>
        </w:rPr>
        <w:t xml:space="preserve"> The understanding of the condition that HARQ-ACK information has been reported is not clear in case not all the PUCCH repetitions are transmitted.</w:t>
      </w:r>
    </w:p>
    <w:p>
      <w:pPr>
        <w:bidi w:val="0"/>
        <w:rPr>
          <w:rFonts w:hint="default"/>
          <w:i/>
          <w:iCs/>
          <w:lang w:val="en-US" w:eastAsia="zh-CN"/>
        </w:rPr>
      </w:pPr>
      <w:r>
        <w:rPr>
          <w:rFonts w:hint="default"/>
          <w:b/>
          <w:bCs/>
          <w:i/>
          <w:iCs/>
          <w:lang w:val="en-US" w:eastAsia="zh-CN"/>
        </w:rPr>
        <w:t>Proposal 1:</w:t>
      </w:r>
      <w:r>
        <w:rPr>
          <w:rFonts w:hint="default"/>
          <w:i/>
          <w:iCs/>
          <w:lang w:val="en-US" w:eastAsia="zh-CN"/>
        </w:rPr>
        <w:t xml:space="preserve"> Then UE consider the HARQ-ACK information has been reported for a HARQ process only when all the PUCCH repetitions carrying the HARQ-ACK information are transmitted.</w:t>
      </w:r>
    </w:p>
    <w:p>
      <w:pPr>
        <w:pStyle w:val="2"/>
        <w:rPr>
          <w:lang w:eastAsia="zh-CN"/>
        </w:rPr>
      </w:pPr>
      <w:r>
        <w:rPr>
          <w:rFonts w:hint="eastAsia"/>
          <w:lang w:eastAsia="zh-CN"/>
        </w:rPr>
        <w:t>R</w:t>
      </w:r>
      <w:r>
        <w:rPr>
          <w:lang w:eastAsia="zh-CN"/>
        </w:rPr>
        <w:t>eference</w:t>
      </w:r>
    </w:p>
    <w:p>
      <w:pPr>
        <w:pStyle w:val="126"/>
        <w:rPr>
          <w:lang w:eastAsia="zh-CN"/>
        </w:rPr>
      </w:pPr>
      <w:r>
        <w:rPr>
          <w:lang w:eastAsia="zh-CN"/>
        </w:rPr>
        <w:t xml:space="preserve">3GPP </w:t>
      </w:r>
      <w:r>
        <w:rPr>
          <w:rFonts w:hint="default"/>
          <w:lang w:val="en-US" w:eastAsia="zh-CN"/>
        </w:rPr>
        <w:t>TS38.213-ga0, Physical layer procedures for control</w:t>
      </w:r>
    </w:p>
    <w:p>
      <w:pPr>
        <w:rPr>
          <w:lang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1D6"/>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1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2447"/>
    <w:rsid w:val="011C77E8"/>
    <w:rsid w:val="0135231E"/>
    <w:rsid w:val="016B06CD"/>
    <w:rsid w:val="017341CD"/>
    <w:rsid w:val="01831130"/>
    <w:rsid w:val="01A2575D"/>
    <w:rsid w:val="01A5018A"/>
    <w:rsid w:val="01D9472D"/>
    <w:rsid w:val="01FC2529"/>
    <w:rsid w:val="026835F1"/>
    <w:rsid w:val="027F51D6"/>
    <w:rsid w:val="0284643E"/>
    <w:rsid w:val="02963BAF"/>
    <w:rsid w:val="02AB3391"/>
    <w:rsid w:val="02C0763E"/>
    <w:rsid w:val="02CC2DF9"/>
    <w:rsid w:val="02E14863"/>
    <w:rsid w:val="0319183E"/>
    <w:rsid w:val="03215927"/>
    <w:rsid w:val="03470FD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805E93"/>
    <w:rsid w:val="059D0899"/>
    <w:rsid w:val="05A246A6"/>
    <w:rsid w:val="05BF1858"/>
    <w:rsid w:val="05FA35C5"/>
    <w:rsid w:val="061F7747"/>
    <w:rsid w:val="066953FF"/>
    <w:rsid w:val="066D0554"/>
    <w:rsid w:val="067D4C1C"/>
    <w:rsid w:val="06A864F3"/>
    <w:rsid w:val="06B127E5"/>
    <w:rsid w:val="06F146D9"/>
    <w:rsid w:val="07165FAB"/>
    <w:rsid w:val="07285FFA"/>
    <w:rsid w:val="072F2729"/>
    <w:rsid w:val="078221BC"/>
    <w:rsid w:val="07861E5B"/>
    <w:rsid w:val="07901951"/>
    <w:rsid w:val="07B275CB"/>
    <w:rsid w:val="07C21FA9"/>
    <w:rsid w:val="07C60573"/>
    <w:rsid w:val="07F36B9B"/>
    <w:rsid w:val="082F6A8F"/>
    <w:rsid w:val="08511EBC"/>
    <w:rsid w:val="08650932"/>
    <w:rsid w:val="086B574D"/>
    <w:rsid w:val="08CF69B6"/>
    <w:rsid w:val="08F7541D"/>
    <w:rsid w:val="09531BE1"/>
    <w:rsid w:val="0957797D"/>
    <w:rsid w:val="0972706B"/>
    <w:rsid w:val="09C21BB6"/>
    <w:rsid w:val="09EC1FC7"/>
    <w:rsid w:val="0A2A77A5"/>
    <w:rsid w:val="0A7969DF"/>
    <w:rsid w:val="0A867EAB"/>
    <w:rsid w:val="0ACB6154"/>
    <w:rsid w:val="0AFC60B7"/>
    <w:rsid w:val="0B184842"/>
    <w:rsid w:val="0B45588F"/>
    <w:rsid w:val="0B6F0A8E"/>
    <w:rsid w:val="0BA473D0"/>
    <w:rsid w:val="0BAD20E5"/>
    <w:rsid w:val="0BAD7041"/>
    <w:rsid w:val="0BEA611A"/>
    <w:rsid w:val="0BFD1C57"/>
    <w:rsid w:val="0C1F1F86"/>
    <w:rsid w:val="0C3A76A6"/>
    <w:rsid w:val="0C5123A8"/>
    <w:rsid w:val="0C6F5654"/>
    <w:rsid w:val="0C8D2FED"/>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5B7A4F"/>
    <w:rsid w:val="0E780189"/>
    <w:rsid w:val="0E862F3F"/>
    <w:rsid w:val="0E9D6013"/>
    <w:rsid w:val="0EA6389B"/>
    <w:rsid w:val="0EB06FFE"/>
    <w:rsid w:val="0EC57FE4"/>
    <w:rsid w:val="0F117D1F"/>
    <w:rsid w:val="0F196779"/>
    <w:rsid w:val="0F307195"/>
    <w:rsid w:val="0F3F7099"/>
    <w:rsid w:val="0F6B449B"/>
    <w:rsid w:val="0F924F4D"/>
    <w:rsid w:val="0F997ACA"/>
    <w:rsid w:val="0F9C00AF"/>
    <w:rsid w:val="0FEE0729"/>
    <w:rsid w:val="0FFF7AEE"/>
    <w:rsid w:val="10150A41"/>
    <w:rsid w:val="102F7219"/>
    <w:rsid w:val="103837AD"/>
    <w:rsid w:val="103C4085"/>
    <w:rsid w:val="10B52074"/>
    <w:rsid w:val="10B63459"/>
    <w:rsid w:val="10C3503C"/>
    <w:rsid w:val="11001DB4"/>
    <w:rsid w:val="111658E5"/>
    <w:rsid w:val="113158BE"/>
    <w:rsid w:val="115629E6"/>
    <w:rsid w:val="11572DD1"/>
    <w:rsid w:val="11A54D2F"/>
    <w:rsid w:val="11DC793A"/>
    <w:rsid w:val="12300753"/>
    <w:rsid w:val="1241192F"/>
    <w:rsid w:val="1257267A"/>
    <w:rsid w:val="12602B9D"/>
    <w:rsid w:val="127E02A8"/>
    <w:rsid w:val="12A472D8"/>
    <w:rsid w:val="12BA4D2B"/>
    <w:rsid w:val="12F015F0"/>
    <w:rsid w:val="12FE321B"/>
    <w:rsid w:val="130859B8"/>
    <w:rsid w:val="13270013"/>
    <w:rsid w:val="133D5B30"/>
    <w:rsid w:val="134423F9"/>
    <w:rsid w:val="135C64DF"/>
    <w:rsid w:val="137E61B0"/>
    <w:rsid w:val="13B93517"/>
    <w:rsid w:val="13D91C28"/>
    <w:rsid w:val="141F2191"/>
    <w:rsid w:val="142A7523"/>
    <w:rsid w:val="144D324A"/>
    <w:rsid w:val="14A10B44"/>
    <w:rsid w:val="14C24824"/>
    <w:rsid w:val="14DD01BC"/>
    <w:rsid w:val="151F7257"/>
    <w:rsid w:val="154567F6"/>
    <w:rsid w:val="15493DAC"/>
    <w:rsid w:val="15604ABA"/>
    <w:rsid w:val="156347B2"/>
    <w:rsid w:val="157101B4"/>
    <w:rsid w:val="1575AEB2"/>
    <w:rsid w:val="15836BA2"/>
    <w:rsid w:val="164F7F6D"/>
    <w:rsid w:val="165E068A"/>
    <w:rsid w:val="16634200"/>
    <w:rsid w:val="16BD383B"/>
    <w:rsid w:val="16BE5A28"/>
    <w:rsid w:val="16F341CC"/>
    <w:rsid w:val="1702D3F2"/>
    <w:rsid w:val="17041BA2"/>
    <w:rsid w:val="17230415"/>
    <w:rsid w:val="17A36C4C"/>
    <w:rsid w:val="17A625DA"/>
    <w:rsid w:val="17B77676"/>
    <w:rsid w:val="17FB0513"/>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540375"/>
    <w:rsid w:val="1D6D1D33"/>
    <w:rsid w:val="1D7806A7"/>
    <w:rsid w:val="1DA71CFD"/>
    <w:rsid w:val="1DAB29A2"/>
    <w:rsid w:val="1DB14731"/>
    <w:rsid w:val="1DB502B8"/>
    <w:rsid w:val="1DC3039C"/>
    <w:rsid w:val="1DD50930"/>
    <w:rsid w:val="1DE66DDE"/>
    <w:rsid w:val="1DEE1CB6"/>
    <w:rsid w:val="1DF407BB"/>
    <w:rsid w:val="1E38003B"/>
    <w:rsid w:val="1E4207AD"/>
    <w:rsid w:val="1E4A56A9"/>
    <w:rsid w:val="1E5366C1"/>
    <w:rsid w:val="1E5564BA"/>
    <w:rsid w:val="1F7D69DC"/>
    <w:rsid w:val="1F850095"/>
    <w:rsid w:val="1FA6030C"/>
    <w:rsid w:val="1FB91CD0"/>
    <w:rsid w:val="1FBD523C"/>
    <w:rsid w:val="1FC627E2"/>
    <w:rsid w:val="1FD85109"/>
    <w:rsid w:val="1FDA5618"/>
    <w:rsid w:val="20371905"/>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643883"/>
    <w:rsid w:val="228E2F4A"/>
    <w:rsid w:val="229E5ACA"/>
    <w:rsid w:val="22C62A0D"/>
    <w:rsid w:val="22C66D30"/>
    <w:rsid w:val="23247878"/>
    <w:rsid w:val="232A2F45"/>
    <w:rsid w:val="235E6A85"/>
    <w:rsid w:val="23680C07"/>
    <w:rsid w:val="23865E08"/>
    <w:rsid w:val="239E142D"/>
    <w:rsid w:val="23AF7474"/>
    <w:rsid w:val="23B52B8E"/>
    <w:rsid w:val="23C901FD"/>
    <w:rsid w:val="23EA21A8"/>
    <w:rsid w:val="245870DE"/>
    <w:rsid w:val="247247A7"/>
    <w:rsid w:val="2473146A"/>
    <w:rsid w:val="24816688"/>
    <w:rsid w:val="24927781"/>
    <w:rsid w:val="24956530"/>
    <w:rsid w:val="24A768B2"/>
    <w:rsid w:val="24BF3793"/>
    <w:rsid w:val="24D92091"/>
    <w:rsid w:val="24EA317B"/>
    <w:rsid w:val="258728BF"/>
    <w:rsid w:val="259A183C"/>
    <w:rsid w:val="25B371B9"/>
    <w:rsid w:val="25FD5F47"/>
    <w:rsid w:val="26335F86"/>
    <w:rsid w:val="268C60B5"/>
    <w:rsid w:val="26B04FB4"/>
    <w:rsid w:val="27470D0A"/>
    <w:rsid w:val="275B67F9"/>
    <w:rsid w:val="275E699A"/>
    <w:rsid w:val="276B0C45"/>
    <w:rsid w:val="2793390D"/>
    <w:rsid w:val="27BC4CD9"/>
    <w:rsid w:val="27C5366D"/>
    <w:rsid w:val="27DD67CA"/>
    <w:rsid w:val="28241229"/>
    <w:rsid w:val="28347A0A"/>
    <w:rsid w:val="28384A79"/>
    <w:rsid w:val="2839733E"/>
    <w:rsid w:val="28690808"/>
    <w:rsid w:val="286E4F2A"/>
    <w:rsid w:val="28B07E55"/>
    <w:rsid w:val="28B54AA2"/>
    <w:rsid w:val="290D64D6"/>
    <w:rsid w:val="292476C1"/>
    <w:rsid w:val="29344515"/>
    <w:rsid w:val="29441D0D"/>
    <w:rsid w:val="294D6347"/>
    <w:rsid w:val="29747515"/>
    <w:rsid w:val="29C2594E"/>
    <w:rsid w:val="29E50AC8"/>
    <w:rsid w:val="2A0F0B23"/>
    <w:rsid w:val="2A52459E"/>
    <w:rsid w:val="2A5A3CF7"/>
    <w:rsid w:val="2A5E31FB"/>
    <w:rsid w:val="2A775D97"/>
    <w:rsid w:val="2AC65A40"/>
    <w:rsid w:val="2AD201BE"/>
    <w:rsid w:val="2AD7786F"/>
    <w:rsid w:val="2AE17007"/>
    <w:rsid w:val="2AE363E3"/>
    <w:rsid w:val="2AFE2B7E"/>
    <w:rsid w:val="2B1B7019"/>
    <w:rsid w:val="2B5D7AD6"/>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C863F1"/>
    <w:rsid w:val="2E28633F"/>
    <w:rsid w:val="2E2E5FB6"/>
    <w:rsid w:val="2E4D45F8"/>
    <w:rsid w:val="2E500B54"/>
    <w:rsid w:val="2E563CD9"/>
    <w:rsid w:val="2EB72406"/>
    <w:rsid w:val="2EC511CE"/>
    <w:rsid w:val="2EDA5914"/>
    <w:rsid w:val="2EE35AD4"/>
    <w:rsid w:val="2F121AD6"/>
    <w:rsid w:val="2F2367DE"/>
    <w:rsid w:val="2F4443E0"/>
    <w:rsid w:val="2F797B38"/>
    <w:rsid w:val="2F994058"/>
    <w:rsid w:val="2FA773D4"/>
    <w:rsid w:val="2FF17CD6"/>
    <w:rsid w:val="30147C32"/>
    <w:rsid w:val="304D1A58"/>
    <w:rsid w:val="307E1ED6"/>
    <w:rsid w:val="30865383"/>
    <w:rsid w:val="31542D3B"/>
    <w:rsid w:val="318B5075"/>
    <w:rsid w:val="31EB7BF1"/>
    <w:rsid w:val="31FB2C3F"/>
    <w:rsid w:val="32363829"/>
    <w:rsid w:val="323A6226"/>
    <w:rsid w:val="3245071E"/>
    <w:rsid w:val="32506A14"/>
    <w:rsid w:val="32832752"/>
    <w:rsid w:val="32CB5D97"/>
    <w:rsid w:val="32FE23BF"/>
    <w:rsid w:val="33006AEC"/>
    <w:rsid w:val="330E6893"/>
    <w:rsid w:val="331628B8"/>
    <w:rsid w:val="336F3742"/>
    <w:rsid w:val="3381468D"/>
    <w:rsid w:val="339F1C94"/>
    <w:rsid w:val="33C83CD0"/>
    <w:rsid w:val="33DE0CB9"/>
    <w:rsid w:val="344F6A36"/>
    <w:rsid w:val="34B3395F"/>
    <w:rsid w:val="34C13D72"/>
    <w:rsid w:val="34C6564E"/>
    <w:rsid w:val="34E875BF"/>
    <w:rsid w:val="350F1170"/>
    <w:rsid w:val="3511129D"/>
    <w:rsid w:val="351A406B"/>
    <w:rsid w:val="354B66B7"/>
    <w:rsid w:val="354D2FA4"/>
    <w:rsid w:val="354F2DC1"/>
    <w:rsid w:val="357D45BC"/>
    <w:rsid w:val="359455FE"/>
    <w:rsid w:val="361206C7"/>
    <w:rsid w:val="36484FC1"/>
    <w:rsid w:val="366679F6"/>
    <w:rsid w:val="36695762"/>
    <w:rsid w:val="36CD07B0"/>
    <w:rsid w:val="36ED192F"/>
    <w:rsid w:val="370571A6"/>
    <w:rsid w:val="37153A8B"/>
    <w:rsid w:val="373C5C66"/>
    <w:rsid w:val="375C57D7"/>
    <w:rsid w:val="3768644D"/>
    <w:rsid w:val="37B25272"/>
    <w:rsid w:val="37DA4918"/>
    <w:rsid w:val="37DD651E"/>
    <w:rsid w:val="37FB6D87"/>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217639"/>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6574A9"/>
    <w:rsid w:val="3B8B323D"/>
    <w:rsid w:val="3B94063F"/>
    <w:rsid w:val="3BDE4D0D"/>
    <w:rsid w:val="3BF47021"/>
    <w:rsid w:val="3C1C5A4E"/>
    <w:rsid w:val="3C3D7B3D"/>
    <w:rsid w:val="3C795A31"/>
    <w:rsid w:val="3C923082"/>
    <w:rsid w:val="3CFF2D15"/>
    <w:rsid w:val="3D0354C7"/>
    <w:rsid w:val="3D0B5D73"/>
    <w:rsid w:val="3D130444"/>
    <w:rsid w:val="3D503759"/>
    <w:rsid w:val="3D526BA9"/>
    <w:rsid w:val="3D5C6F45"/>
    <w:rsid w:val="3D7642C9"/>
    <w:rsid w:val="3D7E0823"/>
    <w:rsid w:val="3D7F5A28"/>
    <w:rsid w:val="3D805F24"/>
    <w:rsid w:val="3D863402"/>
    <w:rsid w:val="3D882D0F"/>
    <w:rsid w:val="3DAA038F"/>
    <w:rsid w:val="3DDA6D42"/>
    <w:rsid w:val="3DE26C3E"/>
    <w:rsid w:val="3DE85362"/>
    <w:rsid w:val="3E01783E"/>
    <w:rsid w:val="3E060750"/>
    <w:rsid w:val="3E3769E2"/>
    <w:rsid w:val="3E4165FB"/>
    <w:rsid w:val="3E7347F4"/>
    <w:rsid w:val="3E7B4C65"/>
    <w:rsid w:val="3E8552C0"/>
    <w:rsid w:val="3E85534F"/>
    <w:rsid w:val="3E922DCB"/>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0C3090C"/>
    <w:rsid w:val="41310486"/>
    <w:rsid w:val="413224B2"/>
    <w:rsid w:val="41580881"/>
    <w:rsid w:val="41A75CD3"/>
    <w:rsid w:val="41AC1D9C"/>
    <w:rsid w:val="41E90AD7"/>
    <w:rsid w:val="41FE519E"/>
    <w:rsid w:val="4207424C"/>
    <w:rsid w:val="423166BF"/>
    <w:rsid w:val="4242619A"/>
    <w:rsid w:val="42933199"/>
    <w:rsid w:val="42B20782"/>
    <w:rsid w:val="42F44466"/>
    <w:rsid w:val="43444545"/>
    <w:rsid w:val="4345438E"/>
    <w:rsid w:val="434D41C7"/>
    <w:rsid w:val="438741B0"/>
    <w:rsid w:val="43C24C5B"/>
    <w:rsid w:val="44024A8B"/>
    <w:rsid w:val="444F6C39"/>
    <w:rsid w:val="44917C93"/>
    <w:rsid w:val="44B612FA"/>
    <w:rsid w:val="44BA4099"/>
    <w:rsid w:val="44D1088A"/>
    <w:rsid w:val="44F04ED5"/>
    <w:rsid w:val="450F64B8"/>
    <w:rsid w:val="459F6357"/>
    <w:rsid w:val="45D57D61"/>
    <w:rsid w:val="45FF0F27"/>
    <w:rsid w:val="464D0D0B"/>
    <w:rsid w:val="46547891"/>
    <w:rsid w:val="4666252F"/>
    <w:rsid w:val="467320E7"/>
    <w:rsid w:val="4684407C"/>
    <w:rsid w:val="468E37DA"/>
    <w:rsid w:val="469E1448"/>
    <w:rsid w:val="46D41E44"/>
    <w:rsid w:val="46E6761D"/>
    <w:rsid w:val="46F114A1"/>
    <w:rsid w:val="47AE2F53"/>
    <w:rsid w:val="47D53EDA"/>
    <w:rsid w:val="47F6467C"/>
    <w:rsid w:val="47FA0721"/>
    <w:rsid w:val="47FC4735"/>
    <w:rsid w:val="483B1BF1"/>
    <w:rsid w:val="487C2B41"/>
    <w:rsid w:val="48D53256"/>
    <w:rsid w:val="48ED2CFA"/>
    <w:rsid w:val="48EF4086"/>
    <w:rsid w:val="49174A6C"/>
    <w:rsid w:val="492658CD"/>
    <w:rsid w:val="49446ABC"/>
    <w:rsid w:val="496938E0"/>
    <w:rsid w:val="4986043B"/>
    <w:rsid w:val="49882B35"/>
    <w:rsid w:val="499F72E2"/>
    <w:rsid w:val="49A91145"/>
    <w:rsid w:val="49B80108"/>
    <w:rsid w:val="49E975E4"/>
    <w:rsid w:val="4A2C20DE"/>
    <w:rsid w:val="4A6E396E"/>
    <w:rsid w:val="4A74301A"/>
    <w:rsid w:val="4A8F1807"/>
    <w:rsid w:val="4AA720A1"/>
    <w:rsid w:val="4AB22D3D"/>
    <w:rsid w:val="4B3872E6"/>
    <w:rsid w:val="4B425BC8"/>
    <w:rsid w:val="4B816508"/>
    <w:rsid w:val="4B822C56"/>
    <w:rsid w:val="4BA329C5"/>
    <w:rsid w:val="4BD33F29"/>
    <w:rsid w:val="4BFB5CA4"/>
    <w:rsid w:val="4BFC1ADF"/>
    <w:rsid w:val="4C611769"/>
    <w:rsid w:val="4C7162C0"/>
    <w:rsid w:val="4C822291"/>
    <w:rsid w:val="4CA149AE"/>
    <w:rsid w:val="4CAD5DF9"/>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B913A9"/>
    <w:rsid w:val="50CD6950"/>
    <w:rsid w:val="50FD13B2"/>
    <w:rsid w:val="5125709E"/>
    <w:rsid w:val="513E16AC"/>
    <w:rsid w:val="519A2ED0"/>
    <w:rsid w:val="51DA1198"/>
    <w:rsid w:val="51E51431"/>
    <w:rsid w:val="52546F3F"/>
    <w:rsid w:val="527A1D76"/>
    <w:rsid w:val="52932641"/>
    <w:rsid w:val="52AA6BF6"/>
    <w:rsid w:val="52BB6452"/>
    <w:rsid w:val="52FE30BB"/>
    <w:rsid w:val="52FE6B60"/>
    <w:rsid w:val="530B04A9"/>
    <w:rsid w:val="534D67C2"/>
    <w:rsid w:val="535564DE"/>
    <w:rsid w:val="536E79E7"/>
    <w:rsid w:val="53742E9C"/>
    <w:rsid w:val="539E422E"/>
    <w:rsid w:val="53AA331E"/>
    <w:rsid w:val="53B442DB"/>
    <w:rsid w:val="53C25107"/>
    <w:rsid w:val="53CA6193"/>
    <w:rsid w:val="54152D75"/>
    <w:rsid w:val="54197AD0"/>
    <w:rsid w:val="543314F7"/>
    <w:rsid w:val="545200D3"/>
    <w:rsid w:val="54920CC3"/>
    <w:rsid w:val="54CE2507"/>
    <w:rsid w:val="54E53683"/>
    <w:rsid w:val="54F930BC"/>
    <w:rsid w:val="55040173"/>
    <w:rsid w:val="55181CD2"/>
    <w:rsid w:val="553C09BC"/>
    <w:rsid w:val="557F573F"/>
    <w:rsid w:val="55841CFB"/>
    <w:rsid w:val="55963CF5"/>
    <w:rsid w:val="55CA1D79"/>
    <w:rsid w:val="55D01D97"/>
    <w:rsid w:val="56343517"/>
    <w:rsid w:val="56527109"/>
    <w:rsid w:val="566539B4"/>
    <w:rsid w:val="567275A6"/>
    <w:rsid w:val="567779AC"/>
    <w:rsid w:val="56D00DA3"/>
    <w:rsid w:val="56DC5354"/>
    <w:rsid w:val="56F62A8E"/>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877D7C"/>
    <w:rsid w:val="58A143C6"/>
    <w:rsid w:val="58B110D3"/>
    <w:rsid w:val="58F433FF"/>
    <w:rsid w:val="59394F5E"/>
    <w:rsid w:val="59446631"/>
    <w:rsid w:val="595A121E"/>
    <w:rsid w:val="597C7398"/>
    <w:rsid w:val="59825B44"/>
    <w:rsid w:val="59904C1E"/>
    <w:rsid w:val="59C65DC2"/>
    <w:rsid w:val="59C75644"/>
    <w:rsid w:val="59DC6762"/>
    <w:rsid w:val="5A7A0260"/>
    <w:rsid w:val="5A814BDD"/>
    <w:rsid w:val="5A8C1A22"/>
    <w:rsid w:val="5AA43D93"/>
    <w:rsid w:val="5AA758C9"/>
    <w:rsid w:val="5AB5526E"/>
    <w:rsid w:val="5ADC498D"/>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123F7C"/>
    <w:rsid w:val="5D1D2554"/>
    <w:rsid w:val="5D2F7CD6"/>
    <w:rsid w:val="5D7D1544"/>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5543B7"/>
    <w:rsid w:val="6071382F"/>
    <w:rsid w:val="60867BFB"/>
    <w:rsid w:val="60871227"/>
    <w:rsid w:val="609430EC"/>
    <w:rsid w:val="60AC41CD"/>
    <w:rsid w:val="6133512D"/>
    <w:rsid w:val="614566A2"/>
    <w:rsid w:val="61663C93"/>
    <w:rsid w:val="61997FE5"/>
    <w:rsid w:val="619B6AAB"/>
    <w:rsid w:val="61AD3F41"/>
    <w:rsid w:val="61AF6C07"/>
    <w:rsid w:val="61E93730"/>
    <w:rsid w:val="62187782"/>
    <w:rsid w:val="62591EBD"/>
    <w:rsid w:val="62D40063"/>
    <w:rsid w:val="632D3B23"/>
    <w:rsid w:val="635A6F07"/>
    <w:rsid w:val="6386412B"/>
    <w:rsid w:val="639000ED"/>
    <w:rsid w:val="63A44F76"/>
    <w:rsid w:val="63BC2D1F"/>
    <w:rsid w:val="6411205B"/>
    <w:rsid w:val="64165B94"/>
    <w:rsid w:val="6456298D"/>
    <w:rsid w:val="645A2367"/>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BF1301"/>
    <w:rsid w:val="67E120F3"/>
    <w:rsid w:val="67E72DEC"/>
    <w:rsid w:val="67FA3E47"/>
    <w:rsid w:val="68085293"/>
    <w:rsid w:val="68322DF6"/>
    <w:rsid w:val="684010FB"/>
    <w:rsid w:val="6851376E"/>
    <w:rsid w:val="686C31D7"/>
    <w:rsid w:val="68AB7B1F"/>
    <w:rsid w:val="68F07009"/>
    <w:rsid w:val="69056328"/>
    <w:rsid w:val="690D06FD"/>
    <w:rsid w:val="691A3243"/>
    <w:rsid w:val="695B0623"/>
    <w:rsid w:val="69631CC1"/>
    <w:rsid w:val="696C42BB"/>
    <w:rsid w:val="698A6B0F"/>
    <w:rsid w:val="69BA4D2E"/>
    <w:rsid w:val="69D232C1"/>
    <w:rsid w:val="6A27755C"/>
    <w:rsid w:val="6A782EAA"/>
    <w:rsid w:val="6A9D0EAA"/>
    <w:rsid w:val="6AB218D8"/>
    <w:rsid w:val="6AB52B9D"/>
    <w:rsid w:val="6ABA7E95"/>
    <w:rsid w:val="6AC678E7"/>
    <w:rsid w:val="6B58578D"/>
    <w:rsid w:val="6B704279"/>
    <w:rsid w:val="6BB753C9"/>
    <w:rsid w:val="6BD06E0B"/>
    <w:rsid w:val="6C1D3EF2"/>
    <w:rsid w:val="6C4E23A0"/>
    <w:rsid w:val="6C911A64"/>
    <w:rsid w:val="6CCC0C2E"/>
    <w:rsid w:val="6D020EA1"/>
    <w:rsid w:val="6D221C0A"/>
    <w:rsid w:val="6D2D4970"/>
    <w:rsid w:val="6D713096"/>
    <w:rsid w:val="6D78666A"/>
    <w:rsid w:val="6DD86485"/>
    <w:rsid w:val="6E0F1211"/>
    <w:rsid w:val="6E362A51"/>
    <w:rsid w:val="6EF677CA"/>
    <w:rsid w:val="6F560EDF"/>
    <w:rsid w:val="6F60096A"/>
    <w:rsid w:val="6F64491D"/>
    <w:rsid w:val="6F6E1156"/>
    <w:rsid w:val="6F924603"/>
    <w:rsid w:val="6F9E7C52"/>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73BD1"/>
    <w:rsid w:val="76185042"/>
    <w:rsid w:val="763A080C"/>
    <w:rsid w:val="7668687A"/>
    <w:rsid w:val="768C23D4"/>
    <w:rsid w:val="768D355D"/>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874382"/>
    <w:rsid w:val="79AD248F"/>
    <w:rsid w:val="79AF12CA"/>
    <w:rsid w:val="79DE73E9"/>
    <w:rsid w:val="7A045465"/>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914E12"/>
    <w:rsid w:val="7CA72D12"/>
    <w:rsid w:val="7CB97315"/>
    <w:rsid w:val="7CCE6818"/>
    <w:rsid w:val="7CFC59C6"/>
    <w:rsid w:val="7D1320C4"/>
    <w:rsid w:val="7D185B3E"/>
    <w:rsid w:val="7D260359"/>
    <w:rsid w:val="7D3C13AA"/>
    <w:rsid w:val="7D436305"/>
    <w:rsid w:val="7D494141"/>
    <w:rsid w:val="7D4B1C3E"/>
    <w:rsid w:val="7D787D24"/>
    <w:rsid w:val="7DBC5A56"/>
    <w:rsid w:val="7DD2691C"/>
    <w:rsid w:val="7DEA220E"/>
    <w:rsid w:val="7DFA3D71"/>
    <w:rsid w:val="7DFD24D8"/>
    <w:rsid w:val="7E237976"/>
    <w:rsid w:val="7E2F12EE"/>
    <w:rsid w:val="7E3563A1"/>
    <w:rsid w:val="7E387110"/>
    <w:rsid w:val="7E5A5095"/>
    <w:rsid w:val="7E9326F9"/>
    <w:rsid w:val="7EE17F80"/>
    <w:rsid w:val="7EE20452"/>
    <w:rsid w:val="7EED743D"/>
    <w:rsid w:val="7F0C7F31"/>
    <w:rsid w:val="7F395D9C"/>
    <w:rsid w:val="7F724C84"/>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b1"/>
    <w:basedOn w:val="1"/>
    <w:qFormat/>
    <w:uiPriority w:val="0"/>
    <w:pPr>
      <w:spacing w:before="100" w:beforeAutospacing="1" w:after="100" w:afterAutospacing="1"/>
    </w:pPr>
    <w:rPr>
      <w:rFonts w:eastAsia="Times New Roman"/>
      <w:sz w:val="24"/>
      <w:szCs w:val="24"/>
    </w:rPr>
  </w:style>
  <w:style w:type="character" w:customStyle="1" w:styleId="162">
    <w:name w:val="3GPP Normal Text Char"/>
    <w:link w:val="163"/>
    <w:qFormat/>
    <w:locked/>
    <w:uiPriority w:val="0"/>
    <w:rPr>
      <w:rFonts w:ascii="Times New Roman" w:hAnsi="Times New Roman" w:eastAsia="MS Mincho" w:cs="Times New Roman"/>
      <w:szCs w:val="24"/>
      <w:lang w:val="en-GB" w:eastAsia="en-GB"/>
    </w:rPr>
  </w:style>
  <w:style w:type="paragraph" w:customStyle="1" w:styleId="163">
    <w:name w:val="3GPP Normal Text"/>
    <w:basedOn w:val="32"/>
    <w:link w:val="162"/>
    <w:qFormat/>
    <w:uiPriority w:val="0"/>
    <w:pPr>
      <w:spacing w:after="60"/>
      <w:jc w:val="left"/>
    </w:pPr>
    <w:rPr>
      <w:rFonts w:eastAsia="MS Mincho"/>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1C0B0D-1C82-4E7D-BB51-AFA3A611A4FC}">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2</Pages>
  <Words>537</Words>
  <Characters>2656</Characters>
  <Lines>22</Lines>
  <Paragraphs>6</Paragraphs>
  <TotalTime>42</TotalTime>
  <ScaleCrop>false</ScaleCrop>
  <LinksUpToDate>false</LinksUpToDate>
  <CharactersWithSpaces>3187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2022-08-11T03:04:22Z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B4658E8492ED4F2880B4C52AB6F81500</vt:lpwstr>
  </property>
</Properties>
</file>